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100" w:firstLineChars="1000"/>
        <w:rPr>
          <w:rFonts w:hint="eastAsia"/>
        </w:rPr>
      </w:pPr>
      <w:r>
        <w:rPr>
          <w:rFonts w:hint="eastAsia"/>
        </w:rPr>
        <w:t>2018年的7个有关云计算的发展趋势</w:t>
      </w:r>
    </w:p>
    <w:p>
      <w:pPr>
        <w:rPr>
          <w:rFonts w:hint="eastAsi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20"/>
        <w:rPr>
          <w:rFonts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2017年年底，企业和IT管理人员正在将更多的注意力转向如何使用</w:t>
      </w:r>
      <w:r>
        <w:rPr>
          <w:rFonts w:hint="eastAsia" w:ascii="微软雅黑" w:hAnsi="微软雅黑" w:eastAsia="微软雅黑" w:cs="微软雅黑"/>
          <w:i w:val="0"/>
          <w:caps w:val="0"/>
          <w:color w:val="0B3B8C"/>
          <w:spacing w:val="0"/>
          <w:sz w:val="22"/>
          <w:szCs w:val="22"/>
          <w:u w:val="none"/>
          <w:bdr w:val="none" w:color="auto" w:sz="0" w:space="0"/>
          <w:shd w:val="clear" w:fill="FFFFFF"/>
        </w:rPr>
        <w:t>云计算</w:t>
      </w:r>
      <w:r>
        <w:rPr>
          <w:rFonts w:hint="eastAsia" w:ascii="微软雅黑" w:hAnsi="微软雅黑" w:eastAsia="微软雅黑" w:cs="微软雅黑"/>
          <w:i w:val="0"/>
          <w:caps w:val="0"/>
          <w:color w:val="333333"/>
          <w:spacing w:val="0"/>
          <w:sz w:val="22"/>
          <w:szCs w:val="22"/>
          <w:bdr w:val="none" w:color="auto" w:sz="0" w:space="0"/>
          <w:shd w:val="clear" w:fill="FFFFFF"/>
        </w:rPr>
        <w:t>来实现他们的业务目标，以下是企业在2018年需要做好战略业务准备的一些云计算趋势：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20"/>
        <w:jc w:val="center"/>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drawing>
          <wp:inline distT="0" distB="0" distL="114300" distR="114300">
            <wp:extent cx="5715000" cy="317182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715000" cy="3171825"/>
                    </a:xfrm>
                    <a:prstGeom prst="rect">
                      <a:avLst/>
                    </a:prstGeom>
                    <a:noFill/>
                    <a:ln w="9525">
                      <a:noFill/>
                    </a:ln>
                  </pic:spPr>
                </pic:pic>
              </a:graphicData>
            </a:graphic>
          </wp:inline>
        </w:drawing>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20"/>
        <w:rPr>
          <w:rFonts w:hint="eastAsia" w:ascii="微软雅黑" w:hAnsi="微软雅黑" w:eastAsia="微软雅黑" w:cs="微软雅黑"/>
          <w:i w:val="0"/>
          <w:caps w:val="0"/>
          <w:color w:val="333333"/>
          <w:spacing w:val="0"/>
          <w:sz w:val="22"/>
          <w:szCs w:val="22"/>
        </w:rPr>
      </w:pPr>
      <w:r>
        <w:rPr>
          <w:rStyle w:val="4"/>
          <w:rFonts w:hint="eastAsia" w:ascii="微软雅黑" w:hAnsi="微软雅黑" w:eastAsia="微软雅黑" w:cs="微软雅黑"/>
          <w:i w:val="0"/>
          <w:caps w:val="0"/>
          <w:color w:val="333333"/>
          <w:spacing w:val="0"/>
          <w:sz w:val="22"/>
          <w:szCs w:val="22"/>
          <w:bdr w:val="none" w:color="auto" w:sz="0" w:space="0"/>
          <w:shd w:val="clear" w:fill="FFFFFF"/>
        </w:rPr>
        <w:t>1. </w:t>
      </w:r>
      <w:r>
        <w:rPr>
          <w:rStyle w:val="4"/>
          <w:rFonts w:hint="eastAsia" w:ascii="微软雅黑" w:hAnsi="微软雅黑" w:eastAsia="微软雅黑" w:cs="微软雅黑"/>
          <w:i w:val="0"/>
          <w:caps w:val="0"/>
          <w:color w:val="0B3B8C"/>
          <w:spacing w:val="0"/>
          <w:sz w:val="22"/>
          <w:szCs w:val="22"/>
          <w:u w:val="none"/>
          <w:bdr w:val="none" w:color="auto" w:sz="0" w:space="0"/>
          <w:shd w:val="clear" w:fill="FFFFFF"/>
        </w:rPr>
        <w:fldChar w:fldCharType="begin"/>
      </w:r>
      <w:r>
        <w:rPr>
          <w:rStyle w:val="4"/>
          <w:rFonts w:hint="eastAsia" w:ascii="微软雅黑" w:hAnsi="微软雅黑" w:eastAsia="微软雅黑" w:cs="微软雅黑"/>
          <w:i w:val="0"/>
          <w:caps w:val="0"/>
          <w:color w:val="0B3B8C"/>
          <w:spacing w:val="0"/>
          <w:sz w:val="22"/>
          <w:szCs w:val="22"/>
          <w:u w:val="none"/>
          <w:bdr w:val="none" w:color="auto" w:sz="0" w:space="0"/>
          <w:shd w:val="clear" w:fill="FFFFFF"/>
        </w:rPr>
        <w:instrText xml:space="preserve"> HYPERLINK "http://idcc.idcquan.com/" \t "http://cloud.idcquan.com/yzx/_blank" </w:instrText>
      </w:r>
      <w:r>
        <w:rPr>
          <w:rStyle w:val="4"/>
          <w:rFonts w:hint="eastAsia" w:ascii="微软雅黑" w:hAnsi="微软雅黑" w:eastAsia="微软雅黑" w:cs="微软雅黑"/>
          <w:i w:val="0"/>
          <w:caps w:val="0"/>
          <w:color w:val="0B3B8C"/>
          <w:spacing w:val="0"/>
          <w:sz w:val="22"/>
          <w:szCs w:val="22"/>
          <w:u w:val="none"/>
          <w:bdr w:val="none" w:color="auto" w:sz="0" w:space="0"/>
          <w:shd w:val="clear" w:fill="FFFFFF"/>
        </w:rPr>
        <w:fldChar w:fldCharType="separate"/>
      </w:r>
      <w:r>
        <w:rPr>
          <w:rStyle w:val="5"/>
          <w:rFonts w:hint="eastAsia" w:ascii="微软雅黑" w:hAnsi="微软雅黑" w:eastAsia="微软雅黑" w:cs="微软雅黑"/>
          <w:i w:val="0"/>
          <w:caps w:val="0"/>
          <w:color w:val="0B3B8C"/>
          <w:spacing w:val="0"/>
          <w:sz w:val="22"/>
          <w:szCs w:val="22"/>
          <w:u w:val="none"/>
          <w:bdr w:val="none" w:color="auto" w:sz="0" w:space="0"/>
          <w:shd w:val="clear" w:fill="FFFFFF"/>
        </w:rPr>
        <w:t>云安全</w:t>
      </w:r>
      <w:r>
        <w:rPr>
          <w:rStyle w:val="4"/>
          <w:rFonts w:hint="eastAsia" w:ascii="微软雅黑" w:hAnsi="微软雅黑" w:eastAsia="微软雅黑" w:cs="微软雅黑"/>
          <w:i w:val="0"/>
          <w:caps w:val="0"/>
          <w:color w:val="0B3B8C"/>
          <w:spacing w:val="0"/>
          <w:sz w:val="22"/>
          <w:szCs w:val="22"/>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在2017年，人们经历了比以往更多的网络攻击。美国中央情报局遭遇Vault 7黑客攻击，WannaCry勒索软件爆发，以及Equifax公司数据泄露等网络攻击都是IT行业日后将面临的威胁的例子。新技术带来的威胁也在不断变化。预计2018年个人和国家层面资助对云计算基础设施的网络攻击会有所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随着网络攻击者变得更加复杂，公共机构、私营组织，以及政府部门的安全分析人员将需要更加复杂地部署全面战略，以防止未来的攻击。组织必须在安全信息和事件管理（SIEM）平台以及先进的恶意软件检测协议进行更多的投资和关注，以提高网络安全。云计算服务也可以在这里发挥作用。例如，托管安全服务提供商为缺乏内部专业知识的企业提供强大的外包安全服务，可以使企业更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20"/>
        <w:rPr>
          <w:rFonts w:hint="eastAsia" w:ascii="微软雅黑" w:hAnsi="微软雅黑" w:eastAsia="微软雅黑" w:cs="微软雅黑"/>
          <w:i w:val="0"/>
          <w:caps w:val="0"/>
          <w:color w:val="333333"/>
          <w:spacing w:val="0"/>
          <w:sz w:val="22"/>
          <w:szCs w:val="22"/>
        </w:rPr>
      </w:pPr>
      <w:r>
        <w:rPr>
          <w:rStyle w:val="4"/>
          <w:rFonts w:hint="eastAsia" w:ascii="微软雅黑" w:hAnsi="微软雅黑" w:eastAsia="微软雅黑" w:cs="微软雅黑"/>
          <w:i w:val="0"/>
          <w:caps w:val="0"/>
          <w:color w:val="333333"/>
          <w:spacing w:val="0"/>
          <w:sz w:val="22"/>
          <w:szCs w:val="22"/>
          <w:bdr w:val="none" w:color="auto" w:sz="0" w:space="0"/>
          <w:shd w:val="clear" w:fill="FFFFFF"/>
        </w:rPr>
        <w:t>2. 多云部署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多云部署允许组织在不同的云中部署复杂的工作负载，同时仍然单独管理每个云环境。这种系统增加的效率将使其成为未来一年云计算的主导力量。实际上，调研机构IDC公司预测到2018年85%以上的企业IT部门将投资并采用多云架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企业不想因为采用单一的云提供商的服务而陷入困境。企业可以通过采用“财富500强”已经使用的多云解决方案来大幅降低基础设施成本，每年可节省数百万美元。在多云环境中，组织可以充分利用每个云服务提供商的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尽管越来越多的组织采用多云策略，但许多组织并不了解如何真正构建（或重构）其数据基础架构的弹性。许多云计算架构师在设计多云架构方面感到困惑，这是因为它需要更多的云计算提供商的专业知识以及合格的迁移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20"/>
        <w:rPr>
          <w:rFonts w:hint="eastAsia" w:ascii="微软雅黑" w:hAnsi="微软雅黑" w:eastAsia="微软雅黑" w:cs="微软雅黑"/>
          <w:i w:val="0"/>
          <w:caps w:val="0"/>
          <w:color w:val="333333"/>
          <w:spacing w:val="0"/>
          <w:sz w:val="22"/>
          <w:szCs w:val="22"/>
        </w:rPr>
      </w:pPr>
      <w:r>
        <w:rPr>
          <w:rStyle w:val="4"/>
          <w:rFonts w:hint="eastAsia" w:ascii="微软雅黑" w:hAnsi="微软雅黑" w:eastAsia="微软雅黑" w:cs="微软雅黑"/>
          <w:i w:val="0"/>
          <w:caps w:val="0"/>
          <w:color w:val="333333"/>
          <w:spacing w:val="0"/>
          <w:sz w:val="22"/>
          <w:szCs w:val="22"/>
          <w:bdr w:val="none" w:color="auto" w:sz="0" w:space="0"/>
          <w:shd w:val="clear" w:fill="FFFFFF"/>
        </w:rPr>
        <w:t>3. 采用Kubernetes的容器编排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如果在2018年谈及云计算，那么应该谈到Kubernetes.像容器的Docker一样，Kubernetes已经成为了事实上的云计算控制器。开发人员使用Kubernetes能够管理和轻松迁移软件代码。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包括Docker，Microsoft Azure和Mesosphere DC / OS在内的业界最近采用Kubernetes表明，开源容器编排系统已经证明了其在提供更简单的云部署、更好的扩展性、更高效的管理方面的有效性。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20"/>
        <w:rPr>
          <w:rFonts w:hint="eastAsia" w:ascii="微软雅黑" w:hAnsi="微软雅黑" w:eastAsia="微软雅黑" w:cs="微软雅黑"/>
          <w:i w:val="0"/>
          <w:caps w:val="0"/>
          <w:color w:val="333333"/>
          <w:spacing w:val="0"/>
          <w:sz w:val="22"/>
          <w:szCs w:val="22"/>
        </w:rPr>
      </w:pPr>
      <w:r>
        <w:rPr>
          <w:rStyle w:val="4"/>
          <w:rFonts w:hint="eastAsia" w:ascii="微软雅黑" w:hAnsi="微软雅黑" w:eastAsia="微软雅黑" w:cs="微软雅黑"/>
          <w:i w:val="0"/>
          <w:caps w:val="0"/>
          <w:color w:val="333333"/>
          <w:spacing w:val="0"/>
          <w:sz w:val="22"/>
          <w:szCs w:val="22"/>
          <w:bdr w:val="none" w:color="auto" w:sz="0" w:space="0"/>
          <w:shd w:val="clear" w:fill="FFFFFF"/>
        </w:rPr>
        <w:t>4. 云端监控即服务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越来越多地使用混合云解决方案所带来的另一个趋势是越来越多的组织采用云监控即服务（CMaaS）。这种技术可以监控多个供应商的服务性能，这些供应商现在将依赖于组织的IT服务交付。这些服务独立于提供者本身是很重要的。它还可以通过在监视环境中部署或安装网关来监视内部部署环境、托管</w:t>
      </w:r>
      <w:r>
        <w:rPr>
          <w:rFonts w:hint="eastAsia" w:ascii="微软雅黑" w:hAnsi="微软雅黑" w:eastAsia="微软雅黑" w:cs="微软雅黑"/>
          <w:i w:val="0"/>
          <w:caps w:val="0"/>
          <w:color w:val="0B3B8C"/>
          <w:spacing w:val="0"/>
          <w:sz w:val="22"/>
          <w:szCs w:val="22"/>
          <w:u w:val="none"/>
          <w:bdr w:val="none" w:color="auto" w:sz="0" w:space="0"/>
          <w:shd w:val="clear" w:fill="FFFFFF"/>
        </w:rPr>
        <w:fldChar w:fldCharType="begin"/>
      </w:r>
      <w:r>
        <w:rPr>
          <w:rFonts w:hint="eastAsia" w:ascii="微软雅黑" w:hAnsi="微软雅黑" w:eastAsia="微软雅黑" w:cs="微软雅黑"/>
          <w:i w:val="0"/>
          <w:caps w:val="0"/>
          <w:color w:val="0B3B8C"/>
          <w:spacing w:val="0"/>
          <w:sz w:val="22"/>
          <w:szCs w:val="22"/>
          <w:u w:val="none"/>
          <w:bdr w:val="none" w:color="auto" w:sz="0" w:space="0"/>
          <w:shd w:val="clear" w:fill="FFFFFF"/>
        </w:rPr>
        <w:instrText xml:space="preserve"> HYPERLINK "http://idcc.idcquan.com/" \t "http://cloud.idcquan.com/yzx/_blank" </w:instrText>
      </w:r>
      <w:r>
        <w:rPr>
          <w:rFonts w:hint="eastAsia" w:ascii="微软雅黑" w:hAnsi="微软雅黑" w:eastAsia="微软雅黑" w:cs="微软雅黑"/>
          <w:i w:val="0"/>
          <w:caps w:val="0"/>
          <w:color w:val="0B3B8C"/>
          <w:spacing w:val="0"/>
          <w:sz w:val="22"/>
          <w:szCs w:val="22"/>
          <w:u w:val="none"/>
          <w:bdr w:val="none" w:color="auto" w:sz="0" w:space="0"/>
          <w:shd w:val="clear" w:fill="FFFFFF"/>
        </w:rPr>
        <w:fldChar w:fldCharType="separate"/>
      </w:r>
      <w:r>
        <w:rPr>
          <w:rStyle w:val="5"/>
          <w:rFonts w:hint="eastAsia" w:ascii="微软雅黑" w:hAnsi="微软雅黑" w:eastAsia="微软雅黑" w:cs="微软雅黑"/>
          <w:i w:val="0"/>
          <w:caps w:val="0"/>
          <w:color w:val="0B3B8C"/>
          <w:spacing w:val="0"/>
          <w:sz w:val="22"/>
          <w:szCs w:val="22"/>
          <w:u w:val="none"/>
          <w:bdr w:val="none" w:color="auto" w:sz="0" w:space="0"/>
          <w:shd w:val="clear" w:fill="FFFFFF"/>
        </w:rPr>
        <w:t>数据中心</w:t>
      </w:r>
      <w:r>
        <w:rPr>
          <w:rFonts w:hint="eastAsia" w:ascii="微软雅黑" w:hAnsi="微软雅黑" w:eastAsia="微软雅黑" w:cs="微软雅黑"/>
          <w:i w:val="0"/>
          <w:caps w:val="0"/>
          <w:color w:val="0B3B8C"/>
          <w:spacing w:val="0"/>
          <w:sz w:val="22"/>
          <w:szCs w:val="22"/>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2"/>
          <w:szCs w:val="22"/>
          <w:bdr w:val="none" w:color="auto" w:sz="0" w:space="0"/>
          <w:shd w:val="clear" w:fill="FFFFFF"/>
        </w:rPr>
        <w:t>，以及私有云服务。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20"/>
        <w:rPr>
          <w:rFonts w:hint="eastAsia" w:ascii="微软雅黑" w:hAnsi="微软雅黑" w:eastAsia="微软雅黑" w:cs="微软雅黑"/>
          <w:i w:val="0"/>
          <w:caps w:val="0"/>
          <w:color w:val="333333"/>
          <w:spacing w:val="0"/>
          <w:sz w:val="22"/>
          <w:szCs w:val="22"/>
        </w:rPr>
      </w:pPr>
      <w:r>
        <w:rPr>
          <w:rStyle w:val="4"/>
          <w:rFonts w:hint="eastAsia" w:ascii="微软雅黑" w:hAnsi="微软雅黑" w:eastAsia="微软雅黑" w:cs="微软雅黑"/>
          <w:i w:val="0"/>
          <w:caps w:val="0"/>
          <w:color w:val="333333"/>
          <w:spacing w:val="0"/>
          <w:sz w:val="22"/>
          <w:szCs w:val="22"/>
          <w:bdr w:val="none" w:color="auto" w:sz="0" w:space="0"/>
          <w:shd w:val="clear" w:fill="FFFFFF"/>
        </w:rPr>
        <w:t>5. 遏制云成本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最近，AWS公司宣布EC2实例以秒计费。预计其竞争对手将会不甘示弱，很快公布其特定服务的定价计划。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一般来说，计算云成本是一个简单的过程。但是多云部署并不总是如此。计算多云环境中的总体的云成本是困难的，因为云计算提供商具有不同的定价计划。而且，AWS、微软和谷歌公司通过提供不同的计划和使用不同的方法来衡量/计算费用，使得计算云成本变得更加困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一些企业聘请高管人员来帮助选择和协商云合同。他们监控云服务的消费并对其进行优化，每年节省数千美元。为此，小公司转而使用云成本管理工具（即Cloudability，Cloud Cruiser和Cloudyn）监控云计算消费并提供成本分析。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20"/>
        <w:rPr>
          <w:rFonts w:hint="eastAsia" w:ascii="微软雅黑" w:hAnsi="微软雅黑" w:eastAsia="微软雅黑" w:cs="微软雅黑"/>
          <w:i w:val="0"/>
          <w:caps w:val="0"/>
          <w:color w:val="333333"/>
          <w:spacing w:val="0"/>
          <w:sz w:val="22"/>
          <w:szCs w:val="22"/>
        </w:rPr>
      </w:pPr>
      <w:r>
        <w:rPr>
          <w:rStyle w:val="4"/>
          <w:rFonts w:hint="eastAsia" w:ascii="微软雅黑" w:hAnsi="微软雅黑" w:eastAsia="微软雅黑" w:cs="微软雅黑"/>
          <w:i w:val="0"/>
          <w:caps w:val="0"/>
          <w:color w:val="333333"/>
          <w:spacing w:val="0"/>
          <w:sz w:val="22"/>
          <w:szCs w:val="22"/>
          <w:bdr w:val="none" w:color="auto" w:sz="0" w:space="0"/>
          <w:shd w:val="clear" w:fill="FFFFFF"/>
        </w:rPr>
        <w:t>6. 无服务器架构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云计算的主要优点是易于使用，以腾出额外的资源和按使用量付费的消费模式。在这个模型中，一个实例或虚拟机（VM）是额外计算资源的单位。现在一个“功能”已经成为一个更小的“使用”单位。由于无服务器计算的功能与传统的计算服务器网络不同，它需要一个更专业化的技能组合。这个关于无服务器架构的指南涵盖了IT团队准备好应对未来计算的所有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将管理和扩展资源的责任放在云计算提供商上是很有成本效益的，并且会使内部IT负担沉重。随着虚拟机供应量的不断增加，开发人员无需事先付出，可以更容易地选择操作系统来启动服务器。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无服务器计算目前在公共云中可用。人们在2018年将看到无服务器计算也开始出现在私有云部署中。为了有效地使用无服务器计算，服务器和硬件供应商需要转变他们的业务模式，以便在新的虚拟、弹性和自动化云环境中保持相关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20"/>
        <w:rPr>
          <w:rFonts w:hint="eastAsia" w:ascii="微软雅黑" w:hAnsi="微软雅黑" w:eastAsia="微软雅黑" w:cs="微软雅黑"/>
          <w:i w:val="0"/>
          <w:caps w:val="0"/>
          <w:color w:val="333333"/>
          <w:spacing w:val="0"/>
          <w:sz w:val="22"/>
          <w:szCs w:val="22"/>
        </w:rPr>
      </w:pPr>
      <w:r>
        <w:rPr>
          <w:rStyle w:val="4"/>
          <w:rFonts w:hint="eastAsia" w:ascii="微软雅黑" w:hAnsi="微软雅黑" w:eastAsia="微软雅黑" w:cs="微软雅黑"/>
          <w:i w:val="0"/>
          <w:caps w:val="0"/>
          <w:color w:val="333333"/>
          <w:spacing w:val="0"/>
          <w:sz w:val="22"/>
          <w:szCs w:val="22"/>
          <w:bdr w:val="none" w:color="auto" w:sz="0" w:space="0"/>
          <w:shd w:val="clear" w:fill="FFFFFF"/>
        </w:rPr>
        <w:t>7. 云计算作为物联网的促进者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近几年来，各行业经历了迅速的转型。特别是在通信和商业交易方面。如今，人们使用移动设备访问互联网，查询业务，购买物品等等。这就是物联网发挥作用的地方，超越了使用移动设备来完成更多的任务。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根据调研机构Gartner公司的预测，到2020年，全球物联网设备的数量将上升到至少200亿台。知道这意味着什么吗？随着物联网设备数量的增加，人们应该期望云计算具有更重要的作用。很快，人们将需要一个基于云计算的个人存储驱动器来保存其所有个人移动设备上创建的各种文件。这包括文档、图像和视频。这些和其他一些需求将导致云计算以创新的方式驱动物联网的发展，人们应该期望在2018年看到大量的实际应用。</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A56892"/>
    <w:rsid w:val="57A568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2018-01-10T02:40:00Z</dcterms:created>
  <dc:creator>Administrator</dc:creator>
  <cp:lastModifiedBy>Administrator</cp:lastModifiedBy>
  <dcterms:modified xsi:type="dcterms:W3CDTF">2018-01-10T02:41:28Z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